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遗传病检测项目表</w:t>
      </w:r>
    </w:p>
    <w:p>
      <w:r>
        <w:t>回归场景：检测方法纵向合并，但每条检测项目在转换后都必须保留该方法。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项目编号</w:t>
            </w:r>
          </w:p>
        </w:tc>
        <w:tc>
          <w:tcPr>
            <w:tcW w:type="dxa" w:w="1728"/>
          </w:tcPr>
          <w:p>
            <w:r>
              <w:t>检测项目</w:t>
            </w:r>
          </w:p>
        </w:tc>
        <w:tc>
          <w:tcPr>
            <w:tcW w:type="dxa" w:w="1728"/>
          </w:tcPr>
          <w:p>
            <w:r>
              <w:t>相关基因</w:t>
            </w:r>
          </w:p>
        </w:tc>
        <w:tc>
          <w:tcPr>
            <w:tcW w:type="dxa" w:w="1728"/>
          </w:tcPr>
          <w:p>
            <w:r>
              <w:t>周期</w:t>
            </w:r>
          </w:p>
        </w:tc>
        <w:tc>
          <w:tcPr>
            <w:tcW w:type="dxa" w:w="1728"/>
          </w:tcPr>
          <w:p>
            <w:r>
              <w:t>检测方法</w:t>
            </w:r>
          </w:p>
        </w:tc>
      </w:tr>
      <w:tr>
        <w:tc>
          <w:tcPr>
            <w:tcW w:type="dxa" w:w="1728"/>
          </w:tcPr>
          <w:p>
            <w:r>
              <w:t>Q0101</w:t>
            </w:r>
          </w:p>
        </w:tc>
        <w:tc>
          <w:tcPr>
            <w:tcW w:type="dxa" w:w="1728"/>
          </w:tcPr>
          <w:p>
            <w:r>
              <w:t>遗传性乳腺癌</w:t>
            </w:r>
          </w:p>
        </w:tc>
        <w:tc>
          <w:tcPr>
            <w:tcW w:type="dxa" w:w="1728"/>
          </w:tcPr>
          <w:p>
            <w:r>
              <w:t>BRCA1</w:t>
            </w:r>
          </w:p>
        </w:tc>
        <w:tc>
          <w:tcPr>
            <w:tcW w:type="dxa" w:w="1728"/>
          </w:tcPr>
          <w:p>
            <w:r>
              <w:t>15个工作日</w:t>
            </w:r>
          </w:p>
        </w:tc>
        <w:tc>
          <w:tcPr>
            <w:tcW w:type="dxa" w:w="1728"/>
            <w:vMerge w:val="restart"/>
            <w:vAlign w:val="center"/>
          </w:tcPr>
          <w:p>
            <w:r>
              <w:t>检测方法：提取外周血基因组 DNA，采用高通量测序，并对候选位点进行Sanger 测序验证；检测结果需结合临床表现综合判断。</w:t>
            </w:r>
          </w:p>
        </w:tc>
      </w:tr>
      <w:tr>
        <w:tc>
          <w:tcPr>
            <w:tcW w:type="dxa" w:w="1728"/>
          </w:tcPr>
          <w:p>
            <w:r>
              <w:t>Q0102</w:t>
            </w:r>
          </w:p>
        </w:tc>
        <w:tc>
          <w:tcPr>
            <w:tcW w:type="dxa" w:w="1728"/>
          </w:tcPr>
          <w:p>
            <w:r>
              <w:t>遗传性卵巢癌</w:t>
            </w:r>
          </w:p>
        </w:tc>
        <w:tc>
          <w:tcPr>
            <w:tcW w:type="dxa" w:w="1728"/>
          </w:tcPr>
          <w:p>
            <w:r>
              <w:t>BRCA2</w:t>
            </w:r>
          </w:p>
        </w:tc>
        <w:tc>
          <w:tcPr>
            <w:tcW w:type="dxa" w:w="1728"/>
          </w:tcPr>
          <w:p>
            <w:r>
              <w:t>15个工作日</w:t>
            </w:r>
          </w:p>
        </w:tc>
        <w:tc>
          <w:tcPr>
            <w:tcW w:type="dxa" w:w="1728"/>
            <w:vMerge/>
          </w:tcPr>
          <w:p/>
        </w:tc>
      </w:tr>
      <w:tr>
        <w:tc>
          <w:tcPr>
            <w:tcW w:type="dxa" w:w="1728"/>
          </w:tcPr>
          <w:p>
            <w:r>
              <w:t>Q0103</w:t>
            </w:r>
          </w:p>
        </w:tc>
        <w:tc>
          <w:tcPr>
            <w:tcW w:type="dxa" w:w="1728"/>
          </w:tcPr>
          <w:p>
            <w:r>
              <w:t>林奇综合征</w:t>
            </w:r>
          </w:p>
        </w:tc>
        <w:tc>
          <w:tcPr>
            <w:tcW w:type="dxa" w:w="1728"/>
          </w:tcPr>
          <w:p>
            <w:r>
              <w:t>MLH1</w:t>
            </w:r>
          </w:p>
        </w:tc>
        <w:tc>
          <w:tcPr>
            <w:tcW w:type="dxa" w:w="1728"/>
          </w:tcPr>
          <w:p>
            <w:r>
              <w:t>15个工作日</w:t>
            </w:r>
          </w:p>
        </w:tc>
        <w:tc>
          <w:tcPr>
            <w:tcW w:type="dxa" w:w="1728"/>
            <w:vMerge/>
          </w:tcPr>
          <w:p/>
        </w:tc>
      </w:tr>
      <w:tr>
        <w:tc>
          <w:tcPr>
            <w:tcW w:type="dxa" w:w="1728"/>
          </w:tcPr>
          <w:p>
            <w:r>
              <w:t>Q0104</w:t>
            </w:r>
          </w:p>
        </w:tc>
        <w:tc>
          <w:tcPr>
            <w:tcW w:type="dxa" w:w="1728"/>
          </w:tcPr>
          <w:p>
            <w:r>
              <w:t>家族性腺瘤性息肉病</w:t>
            </w:r>
          </w:p>
        </w:tc>
        <w:tc>
          <w:tcPr>
            <w:tcW w:type="dxa" w:w="1728"/>
          </w:tcPr>
          <w:p>
            <w:r>
              <w:t>APC</w:t>
            </w:r>
          </w:p>
        </w:tc>
        <w:tc>
          <w:tcPr>
            <w:tcW w:type="dxa" w:w="1728"/>
          </w:tcPr>
          <w:p>
            <w:r>
              <w:t>15个工作日</w:t>
            </w:r>
          </w:p>
        </w:tc>
        <w:tc>
          <w:tcPr>
            <w:tcW w:type="dxa" w:w="1728"/>
            <w:vMerge/>
          </w:tcPr>
          <w:p/>
        </w:tc>
      </w:tr>
    </w:tbl>
    <w:p>
      <w:r>
        <w:t>非合并对照表：相邻单元格内容允许相同，但不应被当作合并。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列A</w:t>
            </w:r>
          </w:p>
        </w:tc>
        <w:tc>
          <w:tcPr>
            <w:tcW w:type="dxa" w:w="2880"/>
          </w:tcPr>
          <w:p>
            <w:r>
              <w:t>列B</w:t>
            </w:r>
          </w:p>
        </w:tc>
        <w:tc>
          <w:tcPr>
            <w:tcW w:type="dxa" w:w="2880"/>
          </w:tcPr>
          <w:p>
            <w:r>
              <w:t>列C</w:t>
            </w:r>
          </w:p>
        </w:tc>
      </w:tr>
      <w:tr>
        <w:tc>
          <w:tcPr>
            <w:tcW w:type="dxa" w:w="2880"/>
          </w:tcPr>
          <w:p>
            <w:r>
              <w:t>相同值</w:t>
            </w:r>
          </w:p>
        </w:tc>
        <w:tc>
          <w:tcPr>
            <w:tcW w:type="dxa" w:w="2880"/>
          </w:tcPr>
          <w:p>
            <w:r>
              <w:t>相同值</w:t>
            </w:r>
          </w:p>
        </w:tc>
        <w:tc>
          <w:tcPr>
            <w:tcW w:type="dxa" w:w="2880"/>
          </w:tcPr>
          <w:p>
            <w:r>
              <w:t>独立值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